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80" w:lineRule="auto"/>
        <w:jc w:val="left"/>
        <w:rPr>
          <w:rFonts w:ascii="黑体" w:hAnsi="黑体" w:eastAsia="黑体"/>
          <w:spacing w:val="-18"/>
          <w:sz w:val="32"/>
          <w:szCs w:val="32"/>
        </w:rPr>
      </w:pPr>
      <w:r>
        <w:rPr>
          <w:rFonts w:hint="eastAsia" w:ascii="黑体" w:hAnsi="黑体" w:eastAsia="黑体"/>
          <w:spacing w:val="-18"/>
          <w:sz w:val="32"/>
          <w:szCs w:val="32"/>
        </w:rPr>
        <w:t>附件5</w:t>
      </w:r>
    </w:p>
    <w:p>
      <w:pPr>
        <w:spacing w:beforeLines="100" w:afterLines="100" w:line="700" w:lineRule="exact"/>
        <w:jc w:val="center"/>
        <w:rPr>
          <w:rFonts w:ascii="方正小标宋简体" w:hAnsi="黑体" w:eastAsia="方正小标宋简体"/>
          <w:b/>
          <w:sz w:val="52"/>
          <w:szCs w:val="52"/>
        </w:rPr>
      </w:pPr>
    </w:p>
    <w:p>
      <w:pPr>
        <w:spacing w:beforeLines="100" w:afterLines="100" w:line="700" w:lineRule="exact"/>
        <w:jc w:val="center"/>
        <w:rPr>
          <w:rFonts w:ascii="方正小标宋简体" w:hAnsi="黑体" w:eastAsia="方正小标宋简体"/>
          <w:b/>
          <w:sz w:val="52"/>
          <w:szCs w:val="52"/>
        </w:rPr>
      </w:pPr>
      <w:r>
        <w:rPr>
          <w:rFonts w:hint="eastAsia" w:ascii="方正小标宋简体" w:hAnsi="黑体" w:eastAsia="方正小标宋简体"/>
          <w:b/>
          <w:sz w:val="52"/>
          <w:szCs w:val="52"/>
        </w:rPr>
        <w:t>山东省国家重点监控企业</w:t>
      </w:r>
    </w:p>
    <w:p>
      <w:pPr>
        <w:spacing w:beforeLines="100" w:afterLines="100" w:line="700" w:lineRule="exact"/>
        <w:jc w:val="center"/>
        <w:rPr>
          <w:rFonts w:ascii="方正小标宋简体" w:hAnsi="黑体" w:eastAsia="方正小标宋简体"/>
          <w:b/>
          <w:sz w:val="52"/>
          <w:szCs w:val="52"/>
        </w:rPr>
      </w:pPr>
      <w:r>
        <w:rPr>
          <w:rFonts w:hint="eastAsia" w:ascii="方正小标宋简体" w:hAnsi="黑体" w:eastAsia="方正小标宋简体"/>
          <w:b/>
          <w:sz w:val="52"/>
          <w:szCs w:val="52"/>
        </w:rPr>
        <w:t>自行监测</w:t>
      </w:r>
      <w:r>
        <w:rPr>
          <w:rFonts w:hint="eastAsia" w:ascii="方正小标宋简体" w:hAnsi="黑体" w:eastAsia="方正小标宋简体"/>
          <w:b/>
          <w:kern w:val="0"/>
          <w:sz w:val="52"/>
          <w:szCs w:val="52"/>
        </w:rPr>
        <w:t>年度报告</w:t>
      </w:r>
    </w:p>
    <w:p>
      <w:pPr>
        <w:tabs>
          <w:tab w:val="left" w:pos="2760"/>
        </w:tabs>
        <w:spacing w:beforeLines="100" w:line="480" w:lineRule="auto"/>
        <w:jc w:val="center"/>
        <w:rPr>
          <w:sz w:val="36"/>
          <w:szCs w:val="36"/>
          <w:u w:val="single"/>
        </w:rPr>
      </w:pPr>
    </w:p>
    <w:p>
      <w:pPr>
        <w:tabs>
          <w:tab w:val="left" w:pos="2760"/>
        </w:tabs>
        <w:spacing w:beforeLines="100" w:line="480" w:lineRule="auto"/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  <w:lang w:val="en-US" w:eastAsia="zh-CN"/>
        </w:rPr>
        <w:t>2017</w:t>
      </w:r>
      <w:r>
        <w:rPr>
          <w:rFonts w:hint="eastAsia"/>
          <w:sz w:val="36"/>
          <w:szCs w:val="36"/>
          <w:u w:val="single"/>
        </w:rPr>
        <w:t xml:space="preserve">  年</w:t>
      </w:r>
    </w:p>
    <w:p>
      <w:pPr>
        <w:tabs>
          <w:tab w:val="left" w:pos="2760"/>
        </w:tabs>
        <w:spacing w:line="360" w:lineRule="auto"/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spacing w:line="800" w:lineRule="exact"/>
        <w:jc w:val="center"/>
        <w:rPr>
          <w:sz w:val="30"/>
          <w:szCs w:val="30"/>
        </w:rPr>
      </w:pPr>
    </w:p>
    <w:p>
      <w:pPr>
        <w:spacing w:line="800" w:lineRule="exact"/>
        <w:jc w:val="center"/>
        <w:rPr>
          <w:sz w:val="30"/>
          <w:szCs w:val="30"/>
        </w:rPr>
      </w:pPr>
    </w:p>
    <w:p>
      <w:pPr>
        <w:spacing w:line="800" w:lineRule="exact"/>
        <w:ind w:left="2648" w:leftChars="571" w:hanging="1449" w:hangingChars="481"/>
        <w:rPr>
          <w:bCs/>
          <w:spacing w:val="-20"/>
          <w:sz w:val="30"/>
          <w:szCs w:val="30"/>
          <w:u w:val="single"/>
        </w:rPr>
      </w:pPr>
      <w:r>
        <w:rPr>
          <w:rFonts w:hint="eastAsia"/>
          <w:b/>
          <w:sz w:val="30"/>
        </w:rPr>
        <w:t>企业</w:t>
      </w:r>
      <w:r>
        <w:rPr>
          <w:b/>
          <w:sz w:val="30"/>
        </w:rPr>
        <w:t>名称：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  <w:lang w:eastAsia="zh-CN"/>
        </w:rPr>
        <w:t>日照阳光热电有限公司</w:t>
      </w:r>
      <w:r>
        <w:rPr>
          <w:rFonts w:hint="eastAsia"/>
          <w:sz w:val="30"/>
          <w:u w:val="single"/>
        </w:rPr>
        <w:t xml:space="preserve"> </w:t>
      </w:r>
    </w:p>
    <w:p>
      <w:pPr>
        <w:spacing w:line="800" w:lineRule="exact"/>
        <w:ind w:left="2648" w:leftChars="571" w:hanging="1449" w:hangingChars="481"/>
        <w:rPr>
          <w:bCs/>
          <w:spacing w:val="-20"/>
          <w:sz w:val="30"/>
          <w:szCs w:val="30"/>
          <w:u w:val="single"/>
        </w:rPr>
      </w:pPr>
      <w:r>
        <w:rPr>
          <w:rFonts w:hint="eastAsia"/>
          <w:b/>
          <w:sz w:val="30"/>
        </w:rPr>
        <w:t>监测单位</w:t>
      </w:r>
      <w:r>
        <w:rPr>
          <w:b/>
          <w:sz w:val="30"/>
        </w:rPr>
        <w:t>：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  <w:lang w:eastAsia="zh-CN"/>
        </w:rPr>
        <w:t>山东国评检测服务有限公司</w:t>
      </w:r>
    </w:p>
    <w:p>
      <w:pPr>
        <w:spacing w:line="800" w:lineRule="exact"/>
        <w:ind w:left="2648" w:leftChars="571" w:hanging="1449" w:hangingChars="481"/>
        <w:rPr>
          <w:bCs/>
          <w:spacing w:val="-20"/>
          <w:sz w:val="30"/>
          <w:szCs w:val="30"/>
          <w:u w:val="single"/>
        </w:rPr>
      </w:pPr>
      <w:r>
        <w:rPr>
          <w:rFonts w:hint="eastAsia"/>
          <w:b/>
          <w:sz w:val="30"/>
        </w:rPr>
        <w:t>监测时段</w:t>
      </w:r>
      <w:r>
        <w:rPr>
          <w:b/>
          <w:sz w:val="30"/>
        </w:rPr>
        <w:t>：</w:t>
      </w:r>
      <w:r>
        <w:rPr>
          <w:rFonts w:hint="eastAsia"/>
          <w:sz w:val="30"/>
          <w:u w:val="single"/>
        </w:rPr>
        <w:t xml:space="preserve">                   </w:t>
      </w:r>
    </w:p>
    <w:p>
      <w:pPr>
        <w:spacing w:line="800" w:lineRule="exact"/>
        <w:ind w:left="2648" w:leftChars="571" w:right="210" w:hanging="1449" w:hangingChars="481"/>
        <w:rPr>
          <w:sz w:val="30"/>
          <w:u w:val="single"/>
        </w:rPr>
      </w:pPr>
      <w:r>
        <w:rPr>
          <w:b/>
          <w:sz w:val="30"/>
        </w:rPr>
        <w:t>报告日期：</w:t>
      </w:r>
      <w:r>
        <w:rPr>
          <w:rFonts w:hint="eastAsia"/>
          <w:b/>
          <w:sz w:val="30"/>
          <w:u w:val="single"/>
          <w:lang w:val="en-US" w:eastAsia="zh-CN"/>
        </w:rPr>
        <w:t>2018</w:t>
      </w:r>
      <w:r>
        <w:rPr>
          <w:sz w:val="30"/>
          <w:u w:val="single"/>
        </w:rPr>
        <w:t>年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  <w:u w:val="single"/>
          <w:lang w:val="en-US" w:eastAsia="zh-CN"/>
        </w:rPr>
        <w:t>1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>月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  <w:u w:val="single"/>
          <w:lang w:val="en-US" w:eastAsia="zh-CN"/>
        </w:rPr>
        <w:t>26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>日</w:t>
      </w:r>
    </w:p>
    <w:p>
      <w:pPr>
        <w:spacing w:line="40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>（盖章）</w:t>
      </w:r>
    </w:p>
    <w:p>
      <w:pPr>
        <w:spacing w:line="400" w:lineRule="atLeast"/>
        <w:jc w:val="center"/>
        <w:rPr>
          <w:b/>
          <w:bCs/>
          <w:sz w:val="28"/>
        </w:rPr>
      </w:pPr>
    </w:p>
    <w:p>
      <w:pPr>
        <w:spacing w:line="400" w:lineRule="atLeast"/>
        <w:jc w:val="center"/>
        <w:rPr>
          <w:rFonts w:hint="eastAsia" w:eastAsia="宋体"/>
          <w:b/>
          <w:bCs/>
          <w:sz w:val="28"/>
          <w:lang w:eastAsia="zh-CN"/>
        </w:rPr>
      </w:pPr>
    </w:p>
    <w:p>
      <w:pPr>
        <w:spacing w:line="400" w:lineRule="atLeast"/>
        <w:jc w:val="center"/>
        <w:rPr>
          <w:rFonts w:hint="eastAsia" w:eastAsia="宋体"/>
          <w:sz w:val="28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97" w:bottom="1440" w:left="1797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480" w:lineRule="auto"/>
        <w:jc w:val="center"/>
        <w:outlineLvl w:val="0"/>
        <w:rPr>
          <w:rFonts w:ascii="黑体" w:hAnsi="黑体" w:eastAsia="黑体"/>
          <w:b/>
          <w:spacing w:val="50"/>
          <w:sz w:val="36"/>
          <w:szCs w:val="36"/>
        </w:rPr>
      </w:pPr>
      <w:r>
        <w:rPr>
          <w:rFonts w:hint="eastAsia" w:ascii="黑体" w:hAnsi="黑体" w:eastAsia="黑体"/>
          <w:b/>
          <w:spacing w:val="50"/>
          <w:sz w:val="36"/>
          <w:szCs w:val="36"/>
          <w:u w:val="single"/>
        </w:rPr>
        <w:t xml:space="preserve">     （企业）</w:t>
      </w:r>
      <w:r>
        <w:rPr>
          <w:rFonts w:hint="eastAsia" w:ascii="黑体" w:hAnsi="黑体" w:eastAsia="黑体"/>
          <w:b/>
          <w:spacing w:val="50"/>
          <w:sz w:val="36"/>
          <w:szCs w:val="36"/>
        </w:rPr>
        <w:t>自行监测年度报告</w:t>
      </w:r>
    </w:p>
    <w:p>
      <w:pPr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Style w:val="6"/>
        <w:tblW w:w="14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468"/>
        <w:gridCol w:w="1089"/>
        <w:gridCol w:w="875"/>
        <w:gridCol w:w="2956"/>
        <w:gridCol w:w="2834"/>
        <w:gridCol w:w="1419"/>
        <w:gridCol w:w="1133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tl2br w:val="single" w:color="auto" w:sz="4" w:space="0"/>
            </w:tcBorders>
            <w:vAlign w:val="center"/>
          </w:tcPr>
          <w:p>
            <w:pPr>
              <w:spacing w:line="320" w:lineRule="exact"/>
              <w:ind w:firstLine="735" w:firstLineChars="3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监测项目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监测内容</w:t>
            </w:r>
          </w:p>
        </w:tc>
        <w:tc>
          <w:tcPr>
            <w:tcW w:w="108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监测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点位</w:t>
            </w:r>
          </w:p>
        </w:tc>
        <w:tc>
          <w:tcPr>
            <w:tcW w:w="87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全年生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产天数</w:t>
            </w:r>
          </w:p>
        </w:tc>
        <w:tc>
          <w:tcPr>
            <w:tcW w:w="295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right="-46" w:rightChars="-22"/>
              <w:jc w:val="center"/>
              <w:rPr>
                <w:rFonts w:asciiTheme="minorEastAsia" w:hAnsiTheme="minorEastAsia" w:eastAsia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应当监测天数</w:t>
            </w:r>
          </w:p>
        </w:tc>
        <w:tc>
          <w:tcPr>
            <w:tcW w:w="283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right="-46" w:rightChars="-22"/>
              <w:jc w:val="center"/>
              <w:rPr>
                <w:rFonts w:asciiTheme="minorEastAsia" w:hAnsiTheme="minorEastAsia" w:eastAsia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实际监测天数</w:t>
            </w:r>
          </w:p>
        </w:tc>
        <w:tc>
          <w:tcPr>
            <w:tcW w:w="1419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320" w:lineRule="exact"/>
              <w:ind w:left="-128" w:leftChars="-61" w:right="-99" w:rightChars="-47" w:firstLine="105" w:firstLineChars="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实际监</w:t>
            </w:r>
          </w:p>
          <w:p>
            <w:pPr>
              <w:spacing w:line="320" w:lineRule="exact"/>
              <w:ind w:left="-128" w:leftChars="-61" w:right="-99" w:rightChars="-47" w:firstLine="105" w:firstLineChars="50"/>
              <w:jc w:val="center"/>
              <w:rPr>
                <w:rFonts w:asciiTheme="minorEastAsia" w:hAnsiTheme="minorEastAsia" w:eastAsia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测次数</w:t>
            </w:r>
          </w:p>
        </w:tc>
        <w:tc>
          <w:tcPr>
            <w:tcW w:w="113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128" w:leftChars="-61" w:right="-99" w:rightChars="-47" w:firstLine="105" w:firstLineChars="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达标</w:t>
            </w:r>
          </w:p>
          <w:p>
            <w:pPr>
              <w:spacing w:line="320" w:lineRule="exact"/>
              <w:ind w:right="-46" w:rightChars="-22"/>
              <w:jc w:val="center"/>
              <w:rPr>
                <w:rFonts w:asciiTheme="minorEastAsia" w:hAnsiTheme="minorEastAsia" w:eastAsia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次数</w:t>
            </w:r>
          </w:p>
        </w:tc>
        <w:tc>
          <w:tcPr>
            <w:tcW w:w="200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超标</w:t>
            </w:r>
          </w:p>
          <w:p>
            <w:pPr>
              <w:spacing w:line="320" w:lineRule="exact"/>
              <w:ind w:right="-46" w:rightChars="-22"/>
              <w:jc w:val="center"/>
              <w:rPr>
                <w:rFonts w:asciiTheme="minorEastAsia" w:hAnsiTheme="minorEastAsia" w:eastAsia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监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测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指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标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top w:val="single" w:color="auto" w:sz="12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NO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89" w:type="dxa"/>
            <w:tcBorders>
              <w:top w:val="single" w:color="auto" w:sz="4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排放口</w:t>
            </w:r>
          </w:p>
        </w:tc>
        <w:tc>
          <w:tcPr>
            <w:tcW w:w="875" w:type="dxa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834" w:type="dxa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1419" w:type="dxa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在线连续</w:t>
            </w:r>
          </w:p>
        </w:tc>
        <w:tc>
          <w:tcPr>
            <w:tcW w:w="1133" w:type="dxa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/</w:t>
            </w:r>
          </w:p>
        </w:tc>
        <w:tc>
          <w:tcPr>
            <w:tcW w:w="2005" w:type="dxa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SO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排放口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在线连续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/</w:t>
            </w: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烟尘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排放口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365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在线连续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/</w:t>
            </w: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格林曼黑度</w:t>
            </w:r>
          </w:p>
        </w:tc>
        <w:tc>
          <w:tcPr>
            <w:tcW w:w="1089" w:type="dxa"/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排放口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419" w:type="dxa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1133" w:type="dxa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200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汞及其化合物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排放口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419" w:type="dxa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133" w:type="dxa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流量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废水总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排放口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419" w:type="dxa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pH值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废水总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排放口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419" w:type="dxa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00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硫化物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废水总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排放口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挥发酚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废水总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排放口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氨氮（NH3-N）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废水总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排放口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00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溶解性总固体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废水总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排放口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氟化物（以F-计）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废水总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排放口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总磷（以P计）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废水总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排放口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00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化学需氧量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废水总</w:t>
            </w:r>
            <w:r>
              <w:rPr>
                <w:rFonts w:hint="eastAsia"/>
                <w:sz w:val="20"/>
                <w:szCs w:val="20"/>
                <w:lang w:eastAsia="zh-CN"/>
              </w:rPr>
              <w:t>排放口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石油类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废水总</w:t>
            </w:r>
            <w:r>
              <w:rPr>
                <w:rFonts w:hint="eastAsia"/>
                <w:sz w:val="20"/>
                <w:szCs w:val="20"/>
                <w:lang w:eastAsia="zh-CN"/>
              </w:rPr>
              <w:t>排放口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00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悬浮物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废水总</w:t>
            </w:r>
            <w:r>
              <w:rPr>
                <w:rFonts w:hint="eastAsia"/>
                <w:sz w:val="20"/>
                <w:szCs w:val="20"/>
                <w:lang w:eastAsia="zh-CN"/>
              </w:rPr>
              <w:t>排放口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流量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脱硫废水排放口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pH值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脱硫废水排放口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00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总镉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脱硫废水排放口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总铅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脱硫废水排放口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总砷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脱硫废水排放口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1419" w:type="dxa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00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总汞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脱硫废水排放口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1419" w:type="dxa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subscript"/>
              </w:rPr>
              <w:t>噪 声</w:t>
            </w:r>
          </w:p>
        </w:tc>
        <w:tc>
          <w:tcPr>
            <w:tcW w:w="1089" w:type="dxa"/>
            <w:vAlign w:val="center"/>
          </w:tcPr>
          <w:p>
            <w:pPr>
              <w:spacing w:beforeLines="20" w:afterLines="20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厂界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粉尘</w:t>
            </w: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/>
                <w:sz w:val="24"/>
              </w:rPr>
              <w:t>厂界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200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非甲烷总烃</w:t>
            </w:r>
          </w:p>
        </w:tc>
        <w:tc>
          <w:tcPr>
            <w:tcW w:w="10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厂界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200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颗粒物</w:t>
            </w:r>
          </w:p>
        </w:tc>
        <w:tc>
          <w:tcPr>
            <w:tcW w:w="10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输煤转运站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419" w:type="dxa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005" w:type="dxa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颗粒物</w:t>
            </w:r>
          </w:p>
        </w:tc>
        <w:tc>
          <w:tcPr>
            <w:tcW w:w="10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制糖废黄泥库房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00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颗粒物</w:t>
            </w:r>
          </w:p>
        </w:tc>
        <w:tc>
          <w:tcPr>
            <w:tcW w:w="10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灰库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00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颗粒物</w:t>
            </w:r>
          </w:p>
        </w:tc>
        <w:tc>
          <w:tcPr>
            <w:tcW w:w="10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储煤棚</w:t>
            </w: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365</w:t>
            </w:r>
          </w:p>
        </w:tc>
        <w:tc>
          <w:tcPr>
            <w:tcW w:w="2956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00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。。。</w:t>
            </w:r>
          </w:p>
        </w:tc>
        <w:tc>
          <w:tcPr>
            <w:tcW w:w="108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75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34" w:type="dxa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9" w:type="dxa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3" w:type="dxa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05" w:type="dxa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监测方案的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调整变化情况</w:t>
            </w:r>
          </w:p>
        </w:tc>
        <w:tc>
          <w:tcPr>
            <w:tcW w:w="1231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根据排污许可证要求于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2017年7月1日起调整执行新的企业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自行监测方案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全年废水、废气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污染物排放量</w:t>
            </w:r>
          </w:p>
        </w:tc>
        <w:tc>
          <w:tcPr>
            <w:tcW w:w="12311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  <w:t>全年废水排放量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15万8千吨，废气排放量22亿立方米，排放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二氧化硫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61.5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吨，氮氧化物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362吨，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烟尘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25.2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吨</w:t>
            </w:r>
            <w:r>
              <w:rPr>
                <w:rFonts w:hint="eastAsia"/>
                <w:b w:val="0"/>
                <w:bCs w:val="0"/>
                <w:sz w:val="20"/>
                <w:szCs w:val="20"/>
                <w:lang w:eastAsia="zh-CN"/>
              </w:rPr>
              <w:t>至大气；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排放化学需氧量16.6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吨，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氨氮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5.8吨至城市污水管网，最终去向日照水务集团污水处理有限公司第二污水处理厂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固体废弃物的类型、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产生数量，处置方式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数量以及去向</w:t>
            </w:r>
          </w:p>
        </w:tc>
        <w:tc>
          <w:tcPr>
            <w:tcW w:w="1231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一般工业固废：①锅炉粉煤灰产生量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>41540吨；炉渣22900吨，处置方式及去向：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建材综合利用，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全部由日照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海伦特环保科技有限公司处置；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处置量：共64390t/a；②脱硫石膏产生量4420t/a；处置方式及去向：综合利用，由潍坊鲁东建材有限公司处置。处置量：4420吨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按要求开展企业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周边环境质量影响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状况监测结果</w:t>
            </w:r>
          </w:p>
        </w:tc>
        <w:tc>
          <w:tcPr>
            <w:tcW w:w="1231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方案监测期内周边环境质量监测均合格</w:t>
            </w:r>
          </w:p>
        </w:tc>
      </w:tr>
    </w:tbl>
    <w:p>
      <w:pPr>
        <w:spacing w:line="320" w:lineRule="exact"/>
        <w:rPr>
          <w:b/>
          <w:sz w:val="28"/>
          <w:szCs w:val="28"/>
        </w:rPr>
      </w:pPr>
    </w:p>
    <w:p>
      <w:pPr>
        <w:spacing w:line="360" w:lineRule="auto"/>
        <w:ind w:right="480" w:firstLine="10560" w:firstLineChars="4400"/>
        <w:rPr>
          <w:sz w:val="24"/>
        </w:rPr>
      </w:pPr>
      <w:r>
        <w:rPr>
          <w:sz w:val="24"/>
        </w:rPr>
        <w:t>编制：</w:t>
      </w:r>
      <w:r>
        <w:rPr>
          <w:rFonts w:hint="eastAsia"/>
          <w:sz w:val="24"/>
          <w:u w:val="single"/>
          <w:lang w:eastAsia="zh-CN"/>
        </w:rPr>
        <w:t>张兴昌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</w:rPr>
        <w:t>；签发</w:t>
      </w:r>
      <w:r>
        <w:rPr>
          <w:rFonts w:hint="eastAsia"/>
          <w:sz w:val="24"/>
          <w:lang w:eastAsia="zh-CN"/>
        </w:rPr>
        <w:t>：万志国</w:t>
      </w:r>
      <w:r>
        <w:rPr>
          <w:rFonts w:hint="eastAsia"/>
          <w:sz w:val="24"/>
          <w:u w:val="single"/>
        </w:rPr>
        <w:t xml:space="preserve">      </w:t>
      </w:r>
    </w:p>
    <w:p>
      <w:pPr>
        <w:spacing w:line="360" w:lineRule="auto"/>
        <w:ind w:right="-687" w:rightChars="-327" w:firstLine="1080" w:firstLineChars="450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                         </w:t>
      </w:r>
      <w:r>
        <w:rPr>
          <w:sz w:val="24"/>
        </w:rPr>
        <w:t>日期：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2018.1.26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   </w:t>
      </w:r>
    </w:p>
    <w:sectPr>
      <w:pgSz w:w="16838" w:h="11906" w:orient="landscape"/>
      <w:pgMar w:top="1418" w:right="113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libri Light">
    <w:altName w:val="MV Bol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MFENB N+ Times New Roman PSMT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entury">
    <w:altName w:val="Bookman Old Style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”“Times New Roman”“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仿宋 Std R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黑体"/>
    <w:panose1 w:val="020B0703020204020201"/>
    <w:charset w:val="86"/>
    <w:family w:val="auto"/>
    <w:pitch w:val="default"/>
    <w:sig w:usb0="00000000" w:usb1="00000000" w:usb2="00000016" w:usb3="00000000" w:csb0="0004001F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汉仪仿宋简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大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黑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6DC"/>
    <w:rsid w:val="00045D22"/>
    <w:rsid w:val="0004738F"/>
    <w:rsid w:val="0004747E"/>
    <w:rsid w:val="00060144"/>
    <w:rsid w:val="0019726A"/>
    <w:rsid w:val="001A4849"/>
    <w:rsid w:val="001D1346"/>
    <w:rsid w:val="001D5277"/>
    <w:rsid w:val="0026115B"/>
    <w:rsid w:val="002B5597"/>
    <w:rsid w:val="002C0850"/>
    <w:rsid w:val="002D7E06"/>
    <w:rsid w:val="00316E80"/>
    <w:rsid w:val="0036786D"/>
    <w:rsid w:val="003D5DBA"/>
    <w:rsid w:val="0041591F"/>
    <w:rsid w:val="00464FCE"/>
    <w:rsid w:val="004A1E1B"/>
    <w:rsid w:val="00525B21"/>
    <w:rsid w:val="005C39E8"/>
    <w:rsid w:val="005E6B33"/>
    <w:rsid w:val="005F3EE9"/>
    <w:rsid w:val="00614BBD"/>
    <w:rsid w:val="006E2C73"/>
    <w:rsid w:val="006E4271"/>
    <w:rsid w:val="00714064"/>
    <w:rsid w:val="00731236"/>
    <w:rsid w:val="00750EF5"/>
    <w:rsid w:val="007D548E"/>
    <w:rsid w:val="00800FC0"/>
    <w:rsid w:val="00844B82"/>
    <w:rsid w:val="008E13AC"/>
    <w:rsid w:val="009E386A"/>
    <w:rsid w:val="00A5213B"/>
    <w:rsid w:val="00AB602A"/>
    <w:rsid w:val="00B7533F"/>
    <w:rsid w:val="00CD7738"/>
    <w:rsid w:val="00CE502B"/>
    <w:rsid w:val="00D072DD"/>
    <w:rsid w:val="00D11211"/>
    <w:rsid w:val="00D164C2"/>
    <w:rsid w:val="00D27406"/>
    <w:rsid w:val="00D43CE6"/>
    <w:rsid w:val="00DD3493"/>
    <w:rsid w:val="00E36E80"/>
    <w:rsid w:val="00E672C6"/>
    <w:rsid w:val="00E83CF4"/>
    <w:rsid w:val="00E94247"/>
    <w:rsid w:val="00EA1527"/>
    <w:rsid w:val="00EB77A0"/>
    <w:rsid w:val="00F066DC"/>
    <w:rsid w:val="00FE3384"/>
    <w:rsid w:val="03CB1BBE"/>
    <w:rsid w:val="07393CF1"/>
    <w:rsid w:val="0BC31A67"/>
    <w:rsid w:val="10B60B80"/>
    <w:rsid w:val="1B245E75"/>
    <w:rsid w:val="1B4B30A2"/>
    <w:rsid w:val="20A81F74"/>
    <w:rsid w:val="2E270312"/>
    <w:rsid w:val="35EB59CE"/>
    <w:rsid w:val="39DD0116"/>
    <w:rsid w:val="41F54917"/>
    <w:rsid w:val="43132D2B"/>
    <w:rsid w:val="43283AC8"/>
    <w:rsid w:val="436C6764"/>
    <w:rsid w:val="45AB4B68"/>
    <w:rsid w:val="467A77FE"/>
    <w:rsid w:val="4D6F5E4F"/>
    <w:rsid w:val="57312E2C"/>
    <w:rsid w:val="5B735314"/>
    <w:rsid w:val="623678C2"/>
    <w:rsid w:val="69390E4B"/>
    <w:rsid w:val="6D0C7DD5"/>
    <w:rsid w:val="70641440"/>
    <w:rsid w:val="7232278C"/>
    <w:rsid w:val="72A906E6"/>
    <w:rsid w:val="73131F94"/>
    <w:rsid w:val="7AD0193A"/>
    <w:rsid w:val="7D1478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Char Char Char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8">
    <w:name w:val="List Paragraph"/>
    <w:basedOn w:val="1"/>
    <w:qFormat/>
    <w:uiPriority w:val="0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 w:bidi="en-US"/>
    </w:rPr>
  </w:style>
  <w:style w:type="character" w:customStyle="1" w:styleId="9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3BBD49-C5CB-481A-9EE6-3EA59B8F7F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74</Words>
  <Characters>426</Characters>
  <Lines>3</Lines>
  <Paragraphs>1</Paragraphs>
  <ScaleCrop>false</ScaleCrop>
  <LinksUpToDate>false</LinksUpToDate>
  <CharactersWithSpaces>499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2013-12-02T12:49:00Z</dcterms:created>
  <dc:creator>hbt</dc:creator>
  <cp:lastModifiedBy>走向迷途</cp:lastModifiedBy>
  <cp:lastPrinted>2018-01-30T00:48:51Z</cp:lastPrinted>
  <dcterms:modified xsi:type="dcterms:W3CDTF">2018-01-30T00:49:56Z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